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jc w:val="center"/>
        <w:rPr/>
      </w:pPr>
      <w:r>
        <w:rPr>
          <w:rStyle w:val="Strong"/>
          <w:rFonts w:ascii="Times New Roman" w:hAnsi="Times New Roman"/>
          <w:sz w:val="26"/>
          <w:szCs w:val="26"/>
        </w:rPr>
        <w:t>ПАМЯТКА</w:t>
        <w:br/>
        <w:t xml:space="preserve">государственным гражданским служащим                                                                                   </w:t>
      </w:r>
      <w:r>
        <w:rPr>
          <w:rStyle w:val="Strong"/>
          <w:rFonts w:ascii="Times New Roman" w:hAnsi="Times New Roman"/>
          <w:sz w:val="26"/>
          <w:szCs w:val="26"/>
        </w:rPr>
        <w:t xml:space="preserve">аппарата Уполномоченного по защите прав предпринимателей в Оренбургской области          </w:t>
      </w:r>
      <w:r>
        <w:rPr>
          <w:rStyle w:val="Strong"/>
          <w:rFonts w:ascii="Times New Roman" w:hAnsi="Times New Roman"/>
          <w:sz w:val="26"/>
          <w:szCs w:val="26"/>
        </w:rPr>
        <w:t>по вопросам противодействия коррупции</w:t>
      </w:r>
      <w:r>
        <w:rPr>
          <w:rStyle w:val="Strong"/>
        </w:rPr>
        <w:br/>
        <w:br/>
      </w:r>
      <w:r>
        <w:rPr>
          <w:rFonts w:ascii="Times New Roman" w:hAnsi="Times New Roman"/>
          <w:i/>
          <w:iCs/>
          <w:sz w:val="25"/>
          <w:szCs w:val="25"/>
          <w:u w:val="none"/>
        </w:rPr>
        <w:t>Федеральн</w:t>
      </w:r>
      <w:r>
        <w:rPr>
          <w:rFonts w:ascii="Times New Roman" w:hAnsi="Times New Roman"/>
          <w:i/>
          <w:iCs/>
          <w:sz w:val="25"/>
          <w:szCs w:val="25"/>
          <w:u w:val="none"/>
        </w:rPr>
        <w:t>ый</w:t>
      </w:r>
      <w:r>
        <w:rPr>
          <w:rFonts w:ascii="Times New Roman" w:hAnsi="Times New Roman"/>
          <w:i/>
          <w:iCs/>
          <w:sz w:val="25"/>
          <w:szCs w:val="25"/>
          <w:u w:val="none"/>
        </w:rPr>
        <w:t xml:space="preserve"> закон от 25.12.2008 </w:t>
      </w:r>
      <w:r>
        <w:rPr>
          <w:rFonts w:ascii="Times New Roman" w:hAnsi="Times New Roman"/>
          <w:i/>
          <w:iCs/>
          <w:sz w:val="25"/>
          <w:szCs w:val="25"/>
          <w:u w:val="none"/>
        </w:rPr>
        <w:t>№</w:t>
      </w:r>
      <w:r>
        <w:rPr>
          <w:rFonts w:ascii="Times New Roman" w:hAnsi="Times New Roman"/>
          <w:i/>
          <w:iCs/>
          <w:sz w:val="25"/>
          <w:szCs w:val="25"/>
          <w:u w:val="none"/>
        </w:rPr>
        <w:t xml:space="preserve"> 273-ФЗ «О противодействии коррупции»</w:t>
      </w:r>
    </w:p>
    <w:p>
      <w:pPr>
        <w:pStyle w:val="Style13"/>
        <w:jc w:val="both"/>
        <w:rPr>
          <w:rFonts w:ascii="Times New Roman" w:hAnsi="Times New Roman"/>
          <w:sz w:val="25"/>
          <w:szCs w:val="25"/>
        </w:rPr>
      </w:pPr>
      <w:r>
        <w:rPr>
          <w:rFonts w:ascii="Times New Roman" w:hAnsi="Times New Roman"/>
          <w:sz w:val="25"/>
          <w:szCs w:val="25"/>
          <w:u w:val="single"/>
        </w:rPr>
        <w:t>Статья 1. Основные понятия, используемые в настоящем Федеральном законе.</w:t>
      </w:r>
    </w:p>
    <w:p>
      <w:pPr>
        <w:pStyle w:val="Style13"/>
        <w:jc w:val="both"/>
        <w:rPr>
          <w:rFonts w:ascii="Times New Roman" w:hAnsi="Times New Roman"/>
          <w:sz w:val="25"/>
          <w:szCs w:val="25"/>
        </w:rPr>
      </w:pPr>
      <w:r>
        <w:rPr>
          <w:rFonts w:ascii="Times New Roman" w:hAnsi="Times New Roman"/>
          <w:sz w:val="25"/>
          <w:szCs w:val="25"/>
        </w:rPr>
        <w:t>Для целей настоящего Федерального закона используются следующие основные понятия:</w:t>
        <w:br/>
        <w:t xml:space="preserve">1) </w:t>
      </w:r>
      <w:r>
        <w:rPr>
          <w:rFonts w:ascii="Times New Roman" w:hAnsi="Times New Roman"/>
          <w:b/>
          <w:bCs/>
          <w:sz w:val="25"/>
          <w:szCs w:val="25"/>
        </w:rPr>
        <w:t xml:space="preserve">коррупция - </w:t>
      </w:r>
      <w:r>
        <w:rPr>
          <w:rFonts w:ascii="Times New Roman" w:hAnsi="Times New Roman"/>
          <w:b w:val="false"/>
          <w:i w:val="false"/>
          <w:strike w:val="false"/>
          <w:dstrike w:val="false"/>
          <w:sz w:val="25"/>
          <w:szCs w:val="25"/>
          <w:u w:val="none"/>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Style13"/>
        <w:jc w:val="both"/>
        <w:rPr/>
      </w:pPr>
      <w:r>
        <w:rPr>
          <w:rFonts w:ascii="Times New Roman" w:hAnsi="Times New Roman"/>
          <w:b w:val="false"/>
          <w:i w:val="false"/>
          <w:strike w:val="false"/>
          <w:dstrike w:val="false"/>
          <w:sz w:val="25"/>
          <w:szCs w:val="25"/>
          <w:u w:val="single"/>
        </w:rPr>
        <w:t>С</w:t>
      </w:r>
      <w:r>
        <w:rPr>
          <w:rFonts w:ascii="Times New Roman" w:hAnsi="Times New Roman"/>
          <w:sz w:val="25"/>
          <w:szCs w:val="25"/>
          <w:u w:val="single"/>
        </w:rPr>
        <w:t>татья 13 Ответственность физических лиц за коррупционные правонарушения.</w:t>
      </w:r>
    </w:p>
    <w:p>
      <w:pPr>
        <w:pStyle w:val="Style13"/>
        <w:jc w:val="both"/>
        <w:rPr/>
      </w:pPr>
      <w:r>
        <w:rPr>
          <w:rFonts w:ascii="Times New Roman" w:hAnsi="Times New Roman"/>
          <w:sz w:val="25"/>
          <w:szCs w:val="25"/>
        </w:rPr>
        <w:t xml:space="preserve">1. Граждане Российской Федерации, иностранные граждане и лица без гражданства за совершение коррупционных правонарушений </w:t>
      </w:r>
      <w:r>
        <w:rPr>
          <w:rStyle w:val="Strong"/>
          <w:rFonts w:ascii="Times New Roman" w:hAnsi="Times New Roman"/>
          <w:sz w:val="25"/>
          <w:szCs w:val="25"/>
        </w:rPr>
        <w:t>несут уголовную, административную, гражданско-правовую и дисциплинарную ответственность</w:t>
      </w:r>
      <w:r>
        <w:rPr>
          <w:rFonts w:ascii="Times New Roman" w:hAnsi="Times New Roman"/>
          <w:sz w:val="25"/>
          <w:szCs w:val="25"/>
        </w:rPr>
        <w:t xml:space="preserve"> в соответствии с законодательством Российской Федерации.</w:t>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pPr>
        <w:pStyle w:val="Style13"/>
        <w:jc w:val="both"/>
        <w:rPr/>
      </w:pPr>
      <w:r>
        <w:rPr>
          <w:rFonts w:ascii="Times New Roman" w:hAnsi="Times New Roman"/>
          <w:sz w:val="25"/>
          <w:szCs w:val="25"/>
          <w:u w:val="single"/>
        </w:rPr>
        <w:t xml:space="preserve">Статья 13.1. </w:t>
      </w:r>
      <w:r>
        <w:rPr>
          <w:rStyle w:val="Strong"/>
          <w:rFonts w:ascii="Times New Roman" w:hAnsi="Times New Roman"/>
          <w:sz w:val="25"/>
          <w:szCs w:val="25"/>
          <w:u w:val="single"/>
        </w:rPr>
        <w:t>Увольнение</w:t>
      </w:r>
      <w:r>
        <w:rPr>
          <w:rFonts w:ascii="Times New Roman" w:hAnsi="Times New Roman"/>
          <w:sz w:val="25"/>
          <w:szCs w:val="25"/>
          <w:u w:val="single"/>
        </w:rPr>
        <w:t xml:space="preserve">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w:t>
      </w:r>
      <w:r>
        <w:rPr>
          <w:rStyle w:val="Strong"/>
          <w:rFonts w:ascii="Times New Roman" w:hAnsi="Times New Roman"/>
          <w:sz w:val="25"/>
          <w:szCs w:val="25"/>
          <w:u w:val="single"/>
        </w:rPr>
        <w:t>в связи с утратой доверия</w:t>
      </w:r>
      <w:r>
        <w:rPr>
          <w:rFonts w:ascii="Times New Roman" w:hAnsi="Times New Roman"/>
          <w:sz w:val="25"/>
          <w:szCs w:val="25"/>
          <w:u w:val="single"/>
        </w:rPr>
        <w:t>.</w:t>
      </w:r>
    </w:p>
    <w:p>
      <w:pPr>
        <w:pStyle w:val="Style13"/>
        <w:jc w:val="both"/>
        <w:rPr/>
      </w:pPr>
      <w:r>
        <w:rPr>
          <w:rFonts w:ascii="Times New Roman" w:hAnsi="Times New Roman"/>
          <w:b w:val="false"/>
          <w:i w:val="false"/>
          <w:strike w:val="false"/>
          <w:dstrike w:val="false"/>
          <w:sz w:val="25"/>
          <w:szCs w:val="25"/>
          <w:u w:val="none"/>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br/>
        <w:t>1) непринятия лицом мер по предотвращению и (или) урегулированию конфликта интересов, стороной которого оно является;</w:t>
      </w:r>
    </w:p>
    <w:p>
      <w:pPr>
        <w:pStyle w:val="Style13"/>
        <w:jc w:val="both"/>
        <w:rPr/>
      </w:pPr>
      <w:r>
        <w:rPr>
          <w:rFonts w:ascii="Times New Roman" w:hAnsi="Times New Roman"/>
          <w:b w:val="false"/>
          <w:i w:val="false"/>
          <w:strike w:val="false"/>
          <w:dstrike w:val="false"/>
          <w:sz w:val="25"/>
          <w:szCs w:val="25"/>
          <w:u w:val="none"/>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Style13"/>
        <w:jc w:val="both"/>
        <w:rPr/>
      </w:pPr>
      <w:r>
        <w:rPr>
          <w:rFonts w:ascii="Times New Roman" w:hAnsi="Times New Roman"/>
          <w:b w:val="false"/>
          <w:i w:val="false"/>
          <w:strike w:val="false"/>
          <w:dstrike w:val="false"/>
          <w:sz w:val="25"/>
          <w:szCs w:val="25"/>
          <w:u w:val="none"/>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Style13"/>
        <w:jc w:val="both"/>
        <w:rPr/>
      </w:pPr>
      <w:r>
        <w:rPr>
          <w:rFonts w:ascii="Times New Roman" w:hAnsi="Times New Roman"/>
          <w:b w:val="false"/>
          <w:i w:val="false"/>
          <w:strike w:val="false"/>
          <w:dstrike w:val="false"/>
          <w:sz w:val="25"/>
          <w:szCs w:val="25"/>
          <w:u w:val="none"/>
        </w:rPr>
        <w:t>4) осуществления лицом предпринимательской деятельности;</w:t>
      </w:r>
    </w:p>
    <w:p>
      <w:pPr>
        <w:pStyle w:val="Style13"/>
        <w:jc w:val="both"/>
        <w:rPr/>
      </w:pPr>
      <w:r>
        <w:rPr>
          <w:rFonts w:ascii="Times New Roman" w:hAnsi="Times New Roman"/>
          <w:b w:val="false"/>
          <w:i w:val="false"/>
          <w:strike w:val="false"/>
          <w:dstrike w:val="false"/>
          <w:sz w:val="25"/>
          <w:szCs w:val="25"/>
          <w:u w:val="none"/>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b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Style13"/>
        <w:jc w:val="center"/>
        <w:rPr/>
      </w:pPr>
      <w:r>
        <w:rPr>
          <w:rFonts w:ascii="Times New Roman" w:hAnsi="Times New Roman"/>
          <w:b w:val="false"/>
          <w:i/>
          <w:iCs/>
          <w:strike w:val="false"/>
          <w:dstrike w:val="false"/>
          <w:sz w:val="25"/>
          <w:szCs w:val="25"/>
          <w:u w:val="none"/>
        </w:rPr>
        <w:t>Уголовный кодекс Российской Федерации</w:t>
      </w:r>
    </w:p>
    <w:p>
      <w:pPr>
        <w:pStyle w:val="NormalWeb"/>
        <w:spacing w:beforeAutospacing="0" w:before="0" w:afterAutospacing="0" w:after="120"/>
        <w:jc w:val="both"/>
        <w:rPr/>
      </w:pPr>
      <w:r>
        <w:rPr>
          <w:rFonts w:ascii="Times New Roman" w:hAnsi="Times New Roman"/>
          <w:b w:val="false"/>
          <w:bCs w:val="false"/>
          <w:sz w:val="25"/>
          <w:szCs w:val="25"/>
          <w:u w:val="single"/>
        </w:rPr>
        <w:t xml:space="preserve">Статья 204 </w:t>
      </w:r>
      <w:r>
        <w:rPr>
          <w:rStyle w:val="Strong"/>
          <w:rFonts w:ascii="Times New Roman" w:hAnsi="Times New Roman"/>
          <w:b w:val="false"/>
          <w:bCs w:val="false"/>
          <w:sz w:val="25"/>
          <w:szCs w:val="25"/>
          <w:u w:val="single"/>
        </w:rPr>
        <w:t>Коммерческий подкуп</w:t>
      </w:r>
    </w:p>
    <w:p>
      <w:pPr>
        <w:pStyle w:val="Style13"/>
        <w:jc w:val="both"/>
        <w:rPr>
          <w:rFonts w:ascii="Times New Roman" w:hAnsi="Times New Roman"/>
          <w:sz w:val="25"/>
          <w:szCs w:val="25"/>
        </w:rPr>
      </w:pPr>
      <w:r>
        <w:rPr>
          <w:rFonts w:ascii="Times New Roman" w:hAnsi="Times New Roman"/>
          <w:sz w:val="25"/>
          <w:szCs w:val="25"/>
        </w:rPr>
        <w:t>1. Незаконная передача лицу, выполняющему управленч</w:t>
      </w:r>
      <w:r>
        <w:rPr>
          <w:rFonts w:ascii="Times New Roman" w:hAnsi="Times New Roman"/>
          <w:color w:val="000000"/>
          <w:sz w:val="25"/>
          <w:szCs w:val="25"/>
        </w:rPr>
        <w:t>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pPr>
        <w:pStyle w:val="Style13"/>
        <w:jc w:val="both"/>
        <w:rPr>
          <w:rFonts w:ascii="Times New Roman" w:hAnsi="Times New Roman"/>
          <w:color w:val="000000"/>
          <w:sz w:val="25"/>
          <w:szCs w:val="25"/>
        </w:rPr>
      </w:pPr>
      <w:r>
        <w:rPr>
          <w:rFonts w:ascii="Times New Roman" w:hAnsi="Times New Roman"/>
          <w:color w:val="000000"/>
          <w:sz w:val="25"/>
          <w:szCs w:val="25"/>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pPr>
        <w:pStyle w:val="Style13"/>
        <w:spacing w:lineRule="auto" w:line="240"/>
        <w:jc w:val="both"/>
        <w:rPr>
          <w:rFonts w:ascii="Times New Roman" w:hAnsi="Times New Roman"/>
          <w:color w:val="000000"/>
          <w:sz w:val="25"/>
          <w:szCs w:val="25"/>
        </w:rPr>
      </w:pPr>
      <w:r>
        <w:rPr>
          <w:rFonts w:ascii="Times New Roman" w:hAnsi="Times New Roman"/>
          <w:b w:val="false"/>
          <w:i w:val="false"/>
          <w:strike w:val="false"/>
          <w:dstrike w:val="false"/>
          <w:color w:val="000000"/>
          <w:sz w:val="25"/>
          <w:szCs w:val="25"/>
          <w:u w:val="none"/>
        </w:rPr>
        <w:t xml:space="preserve">2. Деяния, предусмотренные </w:t>
      </w:r>
      <w:r>
        <w:rPr>
          <w:rFonts w:ascii="Times New Roman" w:hAnsi="Times New Roman"/>
          <w:b w:val="false"/>
          <w:i w:val="false"/>
          <w:strike w:val="false"/>
          <w:dstrike w:val="false"/>
          <w:color w:val="000000"/>
          <w:sz w:val="25"/>
          <w:szCs w:val="25"/>
          <w:u w:val="none"/>
        </w:rPr>
        <w:t>частью первой</w:t>
      </w:r>
      <w:r>
        <w:rPr>
          <w:rFonts w:ascii="Times New Roman" w:hAnsi="Times New Roman"/>
          <w:b w:val="false"/>
          <w:i w:val="false"/>
          <w:strike w:val="false"/>
          <w:dstrike w:val="false"/>
          <w:color w:val="000000"/>
          <w:sz w:val="25"/>
          <w:szCs w:val="25"/>
          <w:u w:val="none"/>
        </w:rPr>
        <w:t xml:space="preserve"> настоящей статьи, совершенные в значительном размере, -</w:t>
      </w:r>
    </w:p>
    <w:p>
      <w:pPr>
        <w:pStyle w:val="Style13"/>
        <w:jc w:val="both"/>
        <w:rPr>
          <w:rFonts w:ascii="Times New Roman" w:hAnsi="Times New Roman"/>
          <w:color w:val="000000"/>
          <w:sz w:val="25"/>
          <w:szCs w:val="25"/>
        </w:rPr>
      </w:pPr>
      <w:r>
        <w:rPr>
          <w:rFonts w:ascii="Times New Roman" w:hAnsi="Times New Roman"/>
          <w:color w:val="000000"/>
          <w:sz w:val="25"/>
          <w:szCs w:val="25"/>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Style13"/>
        <w:jc w:val="both"/>
        <w:rPr>
          <w:rFonts w:ascii="Times New Roman" w:hAnsi="Times New Roman"/>
          <w:color w:val="000000"/>
          <w:sz w:val="25"/>
          <w:szCs w:val="25"/>
        </w:rPr>
      </w:pPr>
      <w:r>
        <w:rPr>
          <w:rFonts w:ascii="Times New Roman" w:hAnsi="Times New Roman"/>
          <w:b w:val="false"/>
          <w:i w:val="false"/>
          <w:strike w:val="false"/>
          <w:dstrike w:val="false"/>
          <w:color w:val="000000"/>
          <w:sz w:val="25"/>
          <w:szCs w:val="25"/>
          <w:u w:val="none"/>
        </w:rPr>
        <w:t xml:space="preserve">3. Деяния, предусмотренные </w:t>
      </w:r>
      <w:r>
        <w:rPr>
          <w:rFonts w:ascii="Times New Roman" w:hAnsi="Times New Roman"/>
          <w:b w:val="false"/>
          <w:i w:val="false"/>
          <w:strike w:val="false"/>
          <w:dstrike w:val="false"/>
          <w:color w:val="000000"/>
          <w:sz w:val="25"/>
          <w:szCs w:val="25"/>
          <w:u w:val="none"/>
        </w:rPr>
        <w:t>частью первой</w:t>
      </w:r>
      <w:r>
        <w:rPr>
          <w:rFonts w:ascii="Times New Roman" w:hAnsi="Times New Roman"/>
          <w:b w:val="false"/>
          <w:i w:val="false"/>
          <w:strike w:val="false"/>
          <w:dstrike w:val="false"/>
          <w:color w:val="000000"/>
          <w:sz w:val="25"/>
          <w:szCs w:val="25"/>
          <w:u w:val="none"/>
        </w:rPr>
        <w:t xml:space="preserve"> настоящей статьи, если они совершены:</w:t>
      </w:r>
    </w:p>
    <w:p>
      <w:pPr>
        <w:pStyle w:val="Style13"/>
        <w:widowControl/>
        <w:bidi w:val="0"/>
        <w:spacing w:lineRule="auto" w:line="288" w:before="0" w:after="140"/>
        <w:ind w:left="0" w:right="0" w:firstLine="567"/>
        <w:jc w:val="left"/>
        <w:rPr>
          <w:rFonts w:ascii="Times New Roman" w:hAnsi="Times New Roman"/>
          <w:color w:val="000000"/>
          <w:sz w:val="25"/>
          <w:szCs w:val="25"/>
        </w:rPr>
      </w:pPr>
      <w:r>
        <w:rPr>
          <w:rFonts w:ascii="Times New Roman" w:hAnsi="Times New Roman"/>
          <w:color w:val="000000"/>
          <w:sz w:val="25"/>
          <w:szCs w:val="25"/>
        </w:rPr>
        <w:t>а) группой лиц по предварительному сговору или организованной группой;</w:t>
        <w:br/>
        <w:t xml:space="preserve">         б) за заведомо незаконные действия (бездействие);</w:t>
        <w:br/>
        <w:t xml:space="preserve">         в) в крупном размере, -</w:t>
      </w:r>
    </w:p>
    <w:p>
      <w:pPr>
        <w:pStyle w:val="Style13"/>
        <w:jc w:val="both"/>
        <w:rPr>
          <w:rFonts w:ascii="Times New Roman" w:hAnsi="Times New Roman"/>
          <w:color w:val="000000"/>
          <w:sz w:val="25"/>
          <w:szCs w:val="25"/>
        </w:rPr>
      </w:pPr>
      <w:r>
        <w:rPr>
          <w:rFonts w:ascii="Times New Roman" w:hAnsi="Times New Roman"/>
          <w:color w:val="000000"/>
          <w:sz w:val="25"/>
          <w:szCs w:val="25"/>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pPr>
        <w:pStyle w:val="Style13"/>
        <w:jc w:val="both"/>
        <w:rPr>
          <w:rFonts w:ascii="Times New Roman" w:hAnsi="Times New Roman"/>
          <w:color w:val="000000"/>
          <w:sz w:val="25"/>
          <w:szCs w:val="25"/>
        </w:rPr>
      </w:pPr>
      <w:r>
        <w:rPr>
          <w:rFonts w:ascii="Times New Roman" w:hAnsi="Times New Roman"/>
          <w:b w:val="false"/>
          <w:i w:val="false"/>
          <w:strike w:val="false"/>
          <w:dstrike w:val="false"/>
          <w:color w:val="000000"/>
          <w:sz w:val="25"/>
          <w:szCs w:val="25"/>
          <w:u w:val="none"/>
        </w:rPr>
        <w:t xml:space="preserve">4. Деяния, предусмотренные </w:t>
      </w:r>
      <w:r>
        <w:rPr>
          <w:rFonts w:ascii="Times New Roman" w:hAnsi="Times New Roman"/>
          <w:b w:val="false"/>
          <w:i w:val="false"/>
          <w:strike w:val="false"/>
          <w:dstrike w:val="false"/>
          <w:color w:val="000000"/>
          <w:sz w:val="25"/>
          <w:szCs w:val="25"/>
          <w:u w:val="none"/>
        </w:rPr>
        <w:t>частью первой</w:t>
      </w:r>
      <w:r>
        <w:rPr>
          <w:rFonts w:ascii="Times New Roman" w:hAnsi="Times New Roman"/>
          <w:b w:val="false"/>
          <w:i w:val="false"/>
          <w:strike w:val="false"/>
          <w:dstrike w:val="false"/>
          <w:color w:val="000000"/>
          <w:sz w:val="25"/>
          <w:szCs w:val="25"/>
          <w:u w:val="none"/>
        </w:rPr>
        <w:t xml:space="preserve">, </w:t>
      </w:r>
      <w:r>
        <w:rPr>
          <w:rFonts w:ascii="Times New Roman" w:hAnsi="Times New Roman"/>
          <w:b w:val="false"/>
          <w:i w:val="false"/>
          <w:strike w:val="false"/>
          <w:dstrike w:val="false"/>
          <w:color w:val="000000"/>
          <w:sz w:val="25"/>
          <w:szCs w:val="25"/>
          <w:u w:val="none"/>
        </w:rPr>
        <w:t>пунктами "а"</w:t>
      </w:r>
      <w:r>
        <w:rPr>
          <w:rFonts w:ascii="Times New Roman" w:hAnsi="Times New Roman"/>
          <w:b w:val="false"/>
          <w:i w:val="false"/>
          <w:strike w:val="false"/>
          <w:dstrike w:val="false"/>
          <w:color w:val="000000"/>
          <w:sz w:val="25"/>
          <w:szCs w:val="25"/>
          <w:u w:val="none"/>
        </w:rPr>
        <w:t xml:space="preserve"> и </w:t>
      </w:r>
      <w:r>
        <w:rPr>
          <w:rFonts w:ascii="Times New Roman" w:hAnsi="Times New Roman"/>
          <w:b w:val="false"/>
          <w:i w:val="false"/>
          <w:strike w:val="false"/>
          <w:dstrike w:val="false"/>
          <w:color w:val="000000"/>
          <w:sz w:val="25"/>
          <w:szCs w:val="25"/>
          <w:u w:val="none"/>
        </w:rPr>
        <w:t>"б" части третьей</w:t>
      </w:r>
      <w:r>
        <w:rPr>
          <w:rFonts w:ascii="Times New Roman" w:hAnsi="Times New Roman"/>
          <w:b w:val="false"/>
          <w:i w:val="false"/>
          <w:strike w:val="false"/>
          <w:dstrike w:val="false"/>
          <w:color w:val="000000"/>
          <w:sz w:val="25"/>
          <w:szCs w:val="25"/>
          <w:u w:val="none"/>
        </w:rPr>
        <w:t xml:space="preserve"> настоящей статьи, совершенные в особо крупном размере, -</w:t>
      </w:r>
    </w:p>
    <w:p>
      <w:pPr>
        <w:pStyle w:val="Style13"/>
        <w:jc w:val="both"/>
        <w:rPr>
          <w:rFonts w:ascii="Times New Roman" w:hAnsi="Times New Roman"/>
          <w:color w:val="000000"/>
          <w:sz w:val="25"/>
          <w:szCs w:val="25"/>
        </w:rPr>
      </w:pPr>
      <w:r>
        <w:rPr>
          <w:rFonts w:ascii="Times New Roman" w:hAnsi="Times New Roman"/>
          <w:color w:val="000000"/>
          <w:sz w:val="25"/>
          <w:szCs w:val="25"/>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pPr>
        <w:pStyle w:val="Style13"/>
        <w:jc w:val="both"/>
        <w:rPr>
          <w:rFonts w:ascii="Times New Roman" w:hAnsi="Times New Roman"/>
          <w:color w:val="000000"/>
          <w:sz w:val="25"/>
          <w:szCs w:val="25"/>
        </w:rPr>
      </w:pPr>
      <w:r>
        <w:rPr>
          <w:rFonts w:ascii="Times New Roman" w:hAnsi="Times New Roman"/>
          <w:b w:val="false"/>
          <w:i/>
          <w:iCs/>
          <w:strike w:val="false"/>
          <w:dstrike w:val="false"/>
          <w:color w:val="000000"/>
          <w:sz w:val="25"/>
          <w:szCs w:val="25"/>
          <w:u w:val="none"/>
        </w:rPr>
        <w:t>Примечания.</w:t>
      </w:r>
      <w:r>
        <w:rPr>
          <w:rFonts w:ascii="Times New Roman" w:hAnsi="Times New Roman"/>
          <w:b w:val="false"/>
          <w:i w:val="false"/>
          <w:strike w:val="false"/>
          <w:dstrike w:val="false"/>
          <w:color w:val="000000"/>
          <w:sz w:val="25"/>
          <w:szCs w:val="25"/>
          <w:u w:val="none"/>
        </w:rPr>
        <w:t xml:space="preserve"> </w:t>
        <w:br/>
        <w:t xml:space="preserve">Лицо, совершившее преступление, предусмотренное </w:t>
      </w:r>
      <w:r>
        <w:rPr>
          <w:rFonts w:ascii="Times New Roman" w:hAnsi="Times New Roman"/>
          <w:b w:val="false"/>
          <w:i w:val="false"/>
          <w:strike w:val="false"/>
          <w:dstrike w:val="false"/>
          <w:color w:val="000000"/>
          <w:sz w:val="25"/>
          <w:szCs w:val="25"/>
          <w:u w:val="none"/>
        </w:rPr>
        <w:t>частями первой</w:t>
      </w:r>
      <w:r>
        <w:rPr>
          <w:rFonts w:ascii="Times New Roman" w:hAnsi="Times New Roman"/>
          <w:b w:val="false"/>
          <w:i w:val="false"/>
          <w:strike w:val="false"/>
          <w:dstrike w:val="false"/>
          <w:color w:val="000000"/>
          <w:sz w:val="25"/>
          <w:szCs w:val="25"/>
          <w:u w:val="none"/>
        </w:rPr>
        <w:t xml:space="preserve"> - </w:t>
      </w:r>
      <w:r>
        <w:rPr>
          <w:rFonts w:ascii="Times New Roman" w:hAnsi="Times New Roman"/>
          <w:b w:val="false"/>
          <w:i w:val="false"/>
          <w:strike w:val="false"/>
          <w:dstrike w:val="false"/>
          <w:color w:val="000000"/>
          <w:sz w:val="25"/>
          <w:szCs w:val="25"/>
          <w:u w:val="none"/>
        </w:rPr>
        <w:t>четвертой</w:t>
      </w:r>
      <w:r>
        <w:rPr>
          <w:rFonts w:ascii="Times New Roman" w:hAnsi="Times New Roman"/>
          <w:b w:val="false"/>
          <w:i w:val="false"/>
          <w:strike w:val="false"/>
          <w:dstrike w:val="false"/>
          <w:color w:val="000000"/>
          <w:sz w:val="25"/>
          <w:szCs w:val="25"/>
          <w:u w:val="none"/>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pPr>
        <w:pStyle w:val="Normal"/>
        <w:jc w:val="center"/>
        <w:rPr>
          <w:rFonts w:ascii="Times New Roman" w:hAnsi="Times New Roman"/>
          <w:sz w:val="25"/>
          <w:szCs w:val="25"/>
        </w:rPr>
      </w:pPr>
      <w:r>
        <w:rPr>
          <w:rFonts w:ascii="Times New Roman" w:hAnsi="Times New Roman"/>
          <w:b w:val="false"/>
          <w:i/>
          <w:iCs/>
          <w:strike w:val="false"/>
          <w:dstrike w:val="false"/>
          <w:color w:val="000000"/>
          <w:sz w:val="25"/>
          <w:szCs w:val="25"/>
          <w:u w:val="none"/>
        </w:rPr>
        <w:t xml:space="preserve">Федеральный закон от 27.07.2004 </w:t>
      </w:r>
      <w:r>
        <w:rPr>
          <w:rFonts w:ascii="Times New Roman" w:hAnsi="Times New Roman"/>
          <w:b w:val="false"/>
          <w:i/>
          <w:iCs/>
          <w:strike w:val="false"/>
          <w:dstrike w:val="false"/>
          <w:color w:val="000000"/>
          <w:sz w:val="25"/>
          <w:szCs w:val="25"/>
          <w:u w:val="none"/>
        </w:rPr>
        <w:t xml:space="preserve">№ </w:t>
      </w:r>
      <w:r>
        <w:rPr>
          <w:rFonts w:ascii="Times New Roman" w:hAnsi="Times New Roman"/>
          <w:b w:val="false"/>
          <w:i/>
          <w:iCs/>
          <w:strike w:val="false"/>
          <w:dstrike w:val="false"/>
          <w:color w:val="000000"/>
          <w:sz w:val="25"/>
          <w:szCs w:val="25"/>
          <w:u w:val="none"/>
        </w:rPr>
        <w:t>79-ФЗ</w:t>
        <w:br/>
        <w:t xml:space="preserve"> «</w:t>
      </w:r>
      <w:r>
        <w:rPr>
          <w:rFonts w:ascii="Times New Roman" w:hAnsi="Times New Roman"/>
          <w:b w:val="false"/>
          <w:i/>
          <w:iCs/>
          <w:strike w:val="false"/>
          <w:dstrike w:val="false"/>
          <w:sz w:val="25"/>
          <w:szCs w:val="25"/>
          <w:u w:val="none"/>
        </w:rPr>
        <w:t>О государственной гражданской службе Российской Федерации»</w:t>
      </w:r>
    </w:p>
    <w:p>
      <w:pPr>
        <w:pStyle w:val="Style13"/>
        <w:jc w:val="both"/>
        <w:rPr/>
      </w:pPr>
      <w:r>
        <w:rPr>
          <w:rFonts w:ascii="Times New Roman" w:hAnsi="Times New Roman"/>
          <w:b w:val="false"/>
          <w:i w:val="false"/>
          <w:iCs w:val="false"/>
          <w:strike w:val="false"/>
          <w:dstrike w:val="false"/>
          <w:color w:val="000000"/>
          <w:sz w:val="25"/>
          <w:szCs w:val="25"/>
          <w:u w:val="none"/>
        </w:rPr>
        <w:t xml:space="preserve">Статья 59.2. </w:t>
      </w:r>
      <w:r>
        <w:rPr>
          <w:rStyle w:val="Strong"/>
          <w:rFonts w:ascii="Times New Roman" w:hAnsi="Times New Roman"/>
          <w:i w:val="false"/>
          <w:iCs w:val="false"/>
          <w:strike w:val="false"/>
          <w:dstrike w:val="false"/>
          <w:color w:val="000000"/>
          <w:sz w:val="25"/>
          <w:szCs w:val="25"/>
          <w:u w:val="none"/>
        </w:rPr>
        <w:t>Увольнение в связи с утратой доверия</w:t>
      </w:r>
    </w:p>
    <w:p>
      <w:pPr>
        <w:pStyle w:val="Style13"/>
        <w:jc w:val="both"/>
        <w:rPr/>
      </w:pPr>
      <w:r>
        <w:rPr>
          <w:rFonts w:ascii="Times New Roman" w:hAnsi="Times New Roman"/>
          <w:b w:val="false"/>
          <w:i w:val="false"/>
          <w:strike w:val="false"/>
          <w:dstrike w:val="false"/>
          <w:color w:val="000000"/>
          <w:sz w:val="25"/>
          <w:szCs w:val="25"/>
          <w:u w:val="none"/>
        </w:rPr>
        <w:t>1. Гражданский служащий подлежит увольнению в связи с утратой доверия в случае:</w:t>
        <w:br/>
      </w:r>
      <w:r>
        <w:rPr>
          <w:rFonts w:ascii="Times New Roman" w:hAnsi="Times New Roman"/>
          <w:color w:val="000000"/>
          <w:sz w:val="25"/>
          <w:szCs w:val="25"/>
        </w:rPr>
        <w:t xml:space="preserve">1) непринятия гражданским служащим мер по предотвращению и (или) урегулированию конфликта интересов, стороной которого он является;                                                                                                    </w:t>
      </w:r>
      <w:r>
        <w:rPr>
          <w:rFonts w:ascii="Times New Roman" w:hAnsi="Times New Roman"/>
          <w:color w:val="000000"/>
          <w:sz w:val="25"/>
          <w:szCs w:val="25"/>
        </w:rPr>
        <w:t xml:space="preserve"> </w:t>
      </w:r>
      <w:r>
        <w:rPr>
          <w:rFonts w:ascii="Times New Roman" w:hAnsi="Times New Roman"/>
          <w:color w:val="000000"/>
          <w:sz w:val="25"/>
          <w:szCs w:val="25"/>
        </w:rPr>
        <w:b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b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br/>
        <w:t>4) осуществления гражданским служащим предпринимательской деятельности;</w:t>
        <w:b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b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b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pPr>
        <w:pStyle w:val="Style13"/>
        <w:rPr>
          <w:rFonts w:ascii="Times New Roman" w:hAnsi="Times New Roman"/>
          <w:color w:val="000000"/>
          <w:sz w:val="25"/>
          <w:szCs w:val="25"/>
        </w:rPr>
      </w:pPr>
      <w:r>
        <w:rPr>
          <w:rFonts w:ascii="Times New Roman" w:hAnsi="Times New Roman"/>
          <w:color w:val="000000"/>
          <w:sz w:val="25"/>
          <w:szCs w:val="25"/>
        </w:rPr>
      </w:r>
    </w:p>
    <w:p>
      <w:pPr>
        <w:pStyle w:val="Style13"/>
        <w:jc w:val="both"/>
        <w:rPr>
          <w:rFonts w:ascii="Times New Roman" w:hAnsi="Times New Roman"/>
          <w:color w:val="000000"/>
          <w:sz w:val="25"/>
          <w:szCs w:val="25"/>
        </w:rPr>
      </w:pPr>
      <w:r>
        <w:rPr>
          <w:rFonts w:ascii="Times New Roman" w:hAnsi="Times New Roman"/>
          <w:color w:val="000000"/>
          <w:sz w:val="25"/>
          <w:szCs w:val="25"/>
        </w:rPr>
      </w:r>
    </w:p>
    <w:p>
      <w:pPr>
        <w:pStyle w:val="Normal"/>
        <w:ind w:left="0" w:firstLine="540"/>
        <w:jc w:val="both"/>
        <w:rPr>
          <w:rFonts w:ascii="Arial" w:hAnsi="Arial"/>
          <w:b w:val="false"/>
          <w:b w:val="false"/>
          <w:i w:val="false"/>
          <w:i w:val="false"/>
          <w:strike w:val="false"/>
          <w:dstrike w:val="false"/>
          <w:sz w:val="20"/>
          <w:u w:val="none"/>
        </w:rPr>
      </w:pPr>
      <w:r>
        <w:rPr/>
      </w:r>
    </w:p>
    <w:p>
      <w:pPr>
        <w:pStyle w:val="Normal"/>
        <w:ind w:left="0" w:firstLine="540"/>
        <w:jc w:val="both"/>
        <w:rPr>
          <w:rFonts w:ascii="Arial" w:hAnsi="Arial"/>
          <w:b w:val="false"/>
          <w:b w:val="false"/>
          <w:i w:val="false"/>
          <w:i w:val="false"/>
          <w:strike w:val="false"/>
          <w:dstrike w:val="false"/>
          <w:sz w:val="20"/>
          <w:u w:val="none"/>
        </w:rPr>
      </w:pPr>
      <w:r>
        <w:rPr/>
      </w:r>
    </w:p>
    <w:p>
      <w:pPr>
        <w:pStyle w:val="Normal"/>
        <w:ind w:left="0" w:firstLine="540"/>
        <w:jc w:val="both"/>
        <w:rPr>
          <w:rFonts w:ascii="Arial" w:hAnsi="Arial"/>
          <w:b w:val="false"/>
          <w:b w:val="false"/>
          <w:i w:val="false"/>
          <w:i w:val="false"/>
          <w:strike w:val="false"/>
          <w:dstrike w:val="false"/>
          <w:sz w:val="20"/>
          <w:u w:val="none"/>
        </w:rPr>
      </w:pPr>
      <w:r>
        <w:rPr/>
      </w:r>
    </w:p>
    <w:p>
      <w:pPr>
        <w:pStyle w:val="Normal"/>
        <w:ind w:left="0" w:firstLine="540"/>
        <w:jc w:val="both"/>
        <w:rPr>
          <w:rFonts w:ascii="Arial" w:hAnsi="Arial"/>
          <w:b w:val="false"/>
          <w:b w:val="false"/>
          <w:i w:val="false"/>
          <w:i w:val="false"/>
          <w:strike w:val="false"/>
          <w:dstrike w:val="false"/>
          <w:sz w:val="20"/>
          <w:u w:val="none"/>
        </w:rPr>
      </w:pPr>
      <w:r>
        <w:rPr/>
      </w:r>
    </w:p>
    <w:p>
      <w:pPr>
        <w:pStyle w:val="Normal"/>
        <w:ind w:left="0" w:firstLine="540"/>
        <w:jc w:val="both"/>
        <w:rPr>
          <w:rFonts w:ascii="Arial" w:hAnsi="Arial"/>
          <w:b w:val="false"/>
          <w:b w:val="false"/>
          <w:i w:val="false"/>
          <w:i w:val="false"/>
          <w:strike w:val="false"/>
          <w:dstrike w:val="false"/>
          <w:sz w:val="20"/>
          <w:u w:val="none"/>
        </w:rPr>
      </w:pPr>
      <w:r>
        <w:rPr/>
      </w:r>
    </w:p>
    <w:p>
      <w:pPr>
        <w:pStyle w:val="Normal"/>
        <w:ind w:left="0" w:firstLine="540"/>
        <w:jc w:val="both"/>
        <w:rPr>
          <w:rFonts w:ascii="Arial" w:hAnsi="Arial"/>
          <w:b w:val="false"/>
          <w:b w:val="false"/>
          <w:i w:val="false"/>
          <w:i w:val="false"/>
          <w:strike w:val="false"/>
          <w:dstrike w:val="false"/>
          <w:sz w:val="20"/>
          <w:u w:val="none"/>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rPr/>
      </w:pPr>
      <w:r>
        <w:rPr/>
      </w:r>
    </w:p>
    <w:p>
      <w:pPr>
        <w:pStyle w:val="NormalWeb"/>
        <w:spacing w:lineRule="auto" w:line="240" w:beforeAutospacing="1" w:afterAutospacing="1"/>
        <w:rPr>
          <w:rStyle w:val="Strong"/>
        </w:rPr>
      </w:pPr>
      <w:bookmarkStart w:id="0" w:name="Par18"/>
      <w:bookmarkStart w:id="1" w:name="Par16"/>
      <w:bookmarkStart w:id="2" w:name="Par11"/>
      <w:bookmarkStart w:id="3" w:name="Par9"/>
      <w:bookmarkStart w:id="4" w:name="Par6"/>
      <w:bookmarkStart w:id="5" w:name="Par5"/>
      <w:bookmarkStart w:id="6" w:name="Par07"/>
      <w:bookmarkStart w:id="7" w:name="Par0"/>
      <w:bookmarkStart w:id="8" w:name="Par18"/>
      <w:bookmarkStart w:id="9" w:name="Par16"/>
      <w:bookmarkStart w:id="10" w:name="Par11"/>
      <w:bookmarkStart w:id="11" w:name="Par9"/>
      <w:bookmarkStart w:id="12" w:name="Par6"/>
      <w:bookmarkStart w:id="13" w:name="Par5"/>
      <w:bookmarkStart w:id="14" w:name="Par07"/>
      <w:bookmarkStart w:id="15" w:name="Par0"/>
      <w:bookmarkEnd w:id="8"/>
      <w:bookmarkEnd w:id="9"/>
      <w:bookmarkEnd w:id="10"/>
      <w:bookmarkEnd w:id="11"/>
      <w:bookmarkEnd w:id="12"/>
      <w:bookmarkEnd w:id="13"/>
      <w:bookmarkEnd w:id="14"/>
      <w:bookmarkEnd w:id="15"/>
      <w:r>
        <w:rPr/>
      </w:r>
    </w:p>
    <w:sectPr>
      <w:type w:val="nextPage"/>
      <w:pgSz w:w="11906" w:h="16838"/>
      <w:pgMar w:left="567" w:right="424" w:header="0" w:top="426" w:footer="0"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c3d4d"/>
    <w:rPr>
      <w:b/>
      <w:bCs/>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Liberation Sans" w:hAnsi="Liberation Sans" w:eastAsia="Microsoft YaHei" w:cs="Ari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Arial"/>
    </w:rPr>
  </w:style>
  <w:style w:type="paragraph" w:styleId="Style15">
    <w:name w:val="Название"/>
    <w:basedOn w:val="Normal"/>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NormalWeb">
    <w:name w:val="Normal (Web)"/>
    <w:basedOn w:val="Normal"/>
    <w:uiPriority w:val="99"/>
    <w:semiHidden/>
    <w:unhideWhenUsed/>
    <w:qFormat/>
    <w:rsid w:val="00fc3d4d"/>
    <w:pPr>
      <w:spacing w:lineRule="auto" w:line="240" w:beforeAutospacing="1" w:afterAutospacing="1"/>
    </w:pPr>
    <w:rPr>
      <w:rFonts w:ascii="Times New Roman" w:hAnsi="Times New Roman" w:eastAsia="Times New Roman" w:cs="Times New Roman"/>
      <w:sz w:val="24"/>
      <w:szCs w:val="24"/>
      <w:lang w:eastAsia="ru-RU"/>
    </w:rPr>
  </w:style>
  <w:style w:type="paragraph" w:styleId="Style17">
    <w:name w:val="Блочная цитата"/>
    <w:basedOn w:val="Normal"/>
    <w:qFormat/>
    <w:pPr/>
    <w:rPr/>
  </w:style>
  <w:style w:type="paragraph" w:styleId="Style18">
    <w:name w:val="Заглавие"/>
    <w:basedOn w:val="Style12"/>
    <w:pPr/>
    <w:rPr/>
  </w:style>
  <w:style w:type="paragraph" w:styleId="Style19">
    <w:name w:val="Подзаголовок"/>
    <w:basedOn w:val="Style12"/>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LibreOffice/5.0.0.5$Windows_x86 LibreOffice_project/1b1a90865e348b492231e1c451437d7a15bb262b</Application>
  <Paragraphs>26</Paragraphs>
  <Company>КонсультантПлюс Версия 4016.00.07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2016-07-26T08:54:00Z</dcterms:created>
  <dc:creator>User</dc:creator>
  <dc:language>ru-RU</dc:language>
  <cp:lastPrinted>2015-12-03T05:08:00Z</cp:lastPrinted>
  <dcterms:modified xsi:type="dcterms:W3CDTF">2016-07-26T09:04:26Z</dcterms:modified>
  <cp:revision>5</cp:revision>
  <dc:title>Федеральный закон от 27.07.2004 N 79-ФЗ(ред. от 03.07.2016)"О государственной гражданской службе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4016.00.07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